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680" w:rsidRDefault="00C11680" w:rsidP="00C11680">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C11680" w:rsidRDefault="00C11680" w:rsidP="00C11680">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C11680" w:rsidRDefault="00C11680" w:rsidP="00C11680">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C11680" w:rsidRDefault="00C11680" w:rsidP="00C11680">
      <w:pPr>
        <w:spacing w:after="0" w:line="480" w:lineRule="auto"/>
        <w:rPr>
          <w:rFonts w:ascii="Times New Roman" w:hAnsi="Times New Roman" w:cs="Times New Roman"/>
          <w:sz w:val="24"/>
          <w:szCs w:val="24"/>
        </w:rPr>
      </w:pPr>
      <w:r>
        <w:rPr>
          <w:rFonts w:ascii="Times New Roman" w:hAnsi="Times New Roman" w:cs="Times New Roman"/>
          <w:sz w:val="24"/>
          <w:szCs w:val="24"/>
        </w:rPr>
        <w:t>DD/MM/YY</w:t>
      </w:r>
    </w:p>
    <w:p w:rsidR="00A93B50" w:rsidRPr="00A93B50" w:rsidRDefault="00A93B50" w:rsidP="00C11680">
      <w:pPr>
        <w:spacing w:after="0" w:line="480" w:lineRule="auto"/>
        <w:jc w:val="center"/>
        <w:rPr>
          <w:rFonts w:ascii="Times New Roman" w:hAnsi="Times New Roman" w:cs="Times New Roman"/>
          <w:sz w:val="24"/>
          <w:szCs w:val="24"/>
        </w:rPr>
      </w:pPr>
      <w:r w:rsidRPr="00A93B50">
        <w:rPr>
          <w:rFonts w:ascii="Times New Roman" w:hAnsi="Times New Roman" w:cs="Times New Roman"/>
          <w:sz w:val="24"/>
          <w:szCs w:val="24"/>
        </w:rPr>
        <w:t>The Indigenous History</w:t>
      </w:r>
    </w:p>
    <w:p w:rsidR="00A93B50" w:rsidRPr="00A93B50" w:rsidRDefault="00A93B50" w:rsidP="00A93B50">
      <w:pPr>
        <w:spacing w:after="0" w:line="480" w:lineRule="auto"/>
        <w:ind w:firstLine="720"/>
        <w:rPr>
          <w:rFonts w:ascii="Times New Roman" w:hAnsi="Times New Roman" w:cs="Times New Roman"/>
          <w:sz w:val="24"/>
          <w:szCs w:val="24"/>
        </w:rPr>
      </w:pPr>
      <w:r w:rsidRPr="00A93B50">
        <w:rPr>
          <w:rFonts w:ascii="Times New Roman" w:hAnsi="Times New Roman" w:cs="Times New Roman"/>
          <w:sz w:val="24"/>
          <w:szCs w:val="24"/>
        </w:rPr>
        <w:t xml:space="preserve">For centuries the indigenous tribes and the federal government have had a troubled relationship due to issues related to land ownership. As the white Americans demanded the expansion of the American Empire, the indigenous tribes’ lands were taken and grabbed by the white Americans with the support of the federal government. Despite cries and complaints by the indigenous tribes, the federal government has never been too supportive of these tribes. As a result, the House of Representatives enacted various acts that gave the white American the opportunity to take away land from the indigenous tribes. One of the examples of Acts by Congress was the Dawes Acts that was supported by a majority of the Congressmen. According to </w:t>
      </w:r>
      <w:r w:rsidRPr="00297CED">
        <w:rPr>
          <w:rFonts w:ascii="Times New Roman" w:hAnsi="Times New Roman" w:cs="Times New Roman"/>
          <w:sz w:val="28"/>
          <w:szCs w:val="24"/>
        </w:rPr>
        <w:t>Dawes Act</w:t>
      </w:r>
      <w:r w:rsidRPr="00A93B50">
        <w:rPr>
          <w:rFonts w:ascii="Times New Roman" w:hAnsi="Times New Roman" w:cs="Times New Roman"/>
          <w:sz w:val="24"/>
          <w:szCs w:val="24"/>
        </w:rPr>
        <w:t xml:space="preserve">, every Indian born within the territory of the United States who decides to be civilized and embraces the life of America has the privilege, immunity and is declared a United States’ citizen. This kind of enactment viewed two things, one to the Indians and the other to the Americans. For indigenous tribes it was getting better services, however, for the Americans, it was an opportunity to grab and possess the ancestral lands of the indigenous people of America. Even though the Hopi Nations rejected and wrote a letter to the Washington chiefs concerning the Dawes Act, the Washington Office never replied to the letter. The issue of indigenous tribes’ land still is a matter of contestation as the Sioux, standing Rock still has the same problem with the government. The claim of the Sioux elders of Dakota Access Pipeline standing on the Standing Rock Sioux land escalates the relationship between the government and the indigenous. </w:t>
      </w:r>
      <w:proofErr w:type="spellStart"/>
      <w:r w:rsidRPr="00A93B50">
        <w:rPr>
          <w:rFonts w:ascii="Times New Roman" w:hAnsi="Times New Roman" w:cs="Times New Roman"/>
          <w:sz w:val="24"/>
          <w:szCs w:val="24"/>
        </w:rPr>
        <w:lastRenderedPageBreak/>
        <w:t>Archambault</w:t>
      </w:r>
      <w:proofErr w:type="spellEnd"/>
      <w:r w:rsidRPr="00A93B50">
        <w:rPr>
          <w:rFonts w:ascii="Times New Roman" w:hAnsi="Times New Roman" w:cs="Times New Roman"/>
          <w:sz w:val="24"/>
          <w:szCs w:val="24"/>
        </w:rPr>
        <w:t xml:space="preserve"> II contest that the government is out to ensure the indigenous tribes are never a problem again to United States (para#11). According to </w:t>
      </w:r>
      <w:proofErr w:type="spellStart"/>
      <w:r w:rsidRPr="00A93B50">
        <w:rPr>
          <w:rFonts w:ascii="Times New Roman" w:hAnsi="Times New Roman" w:cs="Times New Roman"/>
          <w:sz w:val="24"/>
          <w:szCs w:val="24"/>
        </w:rPr>
        <w:t>Archambault</w:t>
      </w:r>
      <w:proofErr w:type="spellEnd"/>
      <w:r w:rsidRPr="00A93B50">
        <w:rPr>
          <w:rFonts w:ascii="Times New Roman" w:hAnsi="Times New Roman" w:cs="Times New Roman"/>
          <w:sz w:val="24"/>
          <w:szCs w:val="24"/>
        </w:rPr>
        <w:t>, the North Dakota governor, in particular, has threatened their historic gathering of the indigenous tribes using his power (Para#11). Since the government has never shown much concern to the Natives of America, the indigenous tribes continue to suffer and lose for the sake of American expansion.</w:t>
      </w:r>
    </w:p>
    <w:p w:rsidR="00A93B50" w:rsidRPr="00A93B50" w:rsidRDefault="00A93B50" w:rsidP="00A93B50">
      <w:pPr>
        <w:spacing w:after="0" w:line="480" w:lineRule="auto"/>
        <w:ind w:firstLine="720"/>
        <w:rPr>
          <w:rFonts w:ascii="Times New Roman" w:hAnsi="Times New Roman" w:cs="Times New Roman"/>
          <w:sz w:val="24"/>
          <w:szCs w:val="24"/>
        </w:rPr>
      </w:pPr>
      <w:r w:rsidRPr="00A93B50">
        <w:rPr>
          <w:rFonts w:ascii="Times New Roman" w:hAnsi="Times New Roman" w:cs="Times New Roman"/>
          <w:sz w:val="24"/>
          <w:szCs w:val="24"/>
        </w:rPr>
        <w:t xml:space="preserve">The indigenous tribes have suffered and been victims to the American government that the government should at now start giving justice to these tribes. It is as if every time they fall preys to land grabbers, their grievances are not taken into consideration. The constitution of the United States section 1 passed by the Congress June 13, 1866, and ratified on July 9, 1868, gives every citizen of the United States the opportunity to own property and have rights to life and liberty. When the indigenous people receive the treatment they get, it is as if the government is in violation of the constitution. As such the US government should consider the following to give the indigenous tribes justice. First, the government should start considering the indigenous tribes as a solid part of America. According to </w:t>
      </w:r>
      <w:proofErr w:type="spellStart"/>
      <w:r w:rsidRPr="00A93B50">
        <w:rPr>
          <w:rFonts w:ascii="Times New Roman" w:hAnsi="Times New Roman" w:cs="Times New Roman"/>
          <w:sz w:val="24"/>
          <w:szCs w:val="24"/>
        </w:rPr>
        <w:t>Archambault</w:t>
      </w:r>
      <w:proofErr w:type="spellEnd"/>
      <w:r w:rsidRPr="00A93B50">
        <w:rPr>
          <w:rFonts w:ascii="Times New Roman" w:hAnsi="Times New Roman" w:cs="Times New Roman"/>
          <w:sz w:val="24"/>
          <w:szCs w:val="24"/>
        </w:rPr>
        <w:t xml:space="preserve"> II, the government continues to ignore the issues raised by these tribes (Para#10). The constitution of America gives rights to all citizens regardless of the tribes; however, for what happens in the lands of the indigenous tribes the constitution is followed.  Secondly, the government should start listening to the grievances of the indigenous tribes. </w:t>
      </w:r>
      <w:proofErr w:type="spellStart"/>
      <w:r w:rsidRPr="00A93B50">
        <w:rPr>
          <w:rFonts w:ascii="Times New Roman" w:hAnsi="Times New Roman" w:cs="Times New Roman"/>
          <w:sz w:val="24"/>
          <w:szCs w:val="24"/>
        </w:rPr>
        <w:t>Treuer</w:t>
      </w:r>
      <w:proofErr w:type="spellEnd"/>
      <w:r w:rsidRPr="00A93B50">
        <w:rPr>
          <w:rFonts w:ascii="Times New Roman" w:hAnsi="Times New Roman" w:cs="Times New Roman"/>
          <w:sz w:val="24"/>
          <w:szCs w:val="24"/>
        </w:rPr>
        <w:t xml:space="preserve"> illustrates that the grievances raised by the Indians especially the </w:t>
      </w:r>
      <w:proofErr w:type="spellStart"/>
      <w:r w:rsidRPr="00A93B50">
        <w:rPr>
          <w:rFonts w:ascii="Times New Roman" w:hAnsi="Times New Roman" w:cs="Times New Roman"/>
          <w:sz w:val="24"/>
          <w:szCs w:val="24"/>
        </w:rPr>
        <w:t>NoDAPL</w:t>
      </w:r>
      <w:proofErr w:type="spellEnd"/>
      <w:r w:rsidRPr="00A93B50">
        <w:rPr>
          <w:rFonts w:ascii="Times New Roman" w:hAnsi="Times New Roman" w:cs="Times New Roman"/>
          <w:sz w:val="24"/>
          <w:szCs w:val="24"/>
        </w:rPr>
        <w:t xml:space="preserve"> movement encompass the problems affecting the general population of America. As much as the government has given it back to issues of concern the Natives have raised since the 19th century, the current government should try to listen and reason for once with the indigenous tribes. Looking at every court decision, the indigenous tribes never win despite having good reasons. Thirdly, the government should formulate policies that give the indigenous people the </w:t>
      </w:r>
      <w:r w:rsidRPr="00A93B50">
        <w:rPr>
          <w:rFonts w:ascii="Times New Roman" w:hAnsi="Times New Roman" w:cs="Times New Roman"/>
          <w:sz w:val="24"/>
          <w:szCs w:val="24"/>
        </w:rPr>
        <w:lastRenderedPageBreak/>
        <w:t xml:space="preserve">voice as other citizens but not policies that try to discriminate their culture. Dunbar-Ortiz demonstrates how the government continuously aims to exterminate the indigenous tribes (p.20). Although the government may not feel comfortable with these tribes, there is a need for the government to co-exist with them. </w:t>
      </w:r>
      <w:r w:rsidR="00332CDD">
        <w:rPr>
          <w:rFonts w:ascii="Times New Roman" w:hAnsi="Times New Roman" w:cs="Times New Roman"/>
          <w:sz w:val="24"/>
          <w:szCs w:val="24"/>
        </w:rPr>
        <w:t xml:space="preserve">Murphy through the constitution of </w:t>
      </w:r>
      <w:proofErr w:type="spellStart"/>
      <w:r w:rsidR="00332CDD">
        <w:rPr>
          <w:rFonts w:ascii="Times New Roman" w:hAnsi="Times New Roman" w:cs="Times New Roman"/>
          <w:sz w:val="24"/>
          <w:szCs w:val="24"/>
        </w:rPr>
        <w:t>Ironquois</w:t>
      </w:r>
      <w:proofErr w:type="spellEnd"/>
      <w:r w:rsidR="00332CDD">
        <w:rPr>
          <w:rFonts w:ascii="Times New Roman" w:hAnsi="Times New Roman" w:cs="Times New Roman"/>
          <w:sz w:val="24"/>
          <w:szCs w:val="24"/>
        </w:rPr>
        <w:t xml:space="preserve"> shows that people should learn to co-exist with each other (75). </w:t>
      </w:r>
      <w:r w:rsidRPr="00A93B50">
        <w:rPr>
          <w:rFonts w:ascii="Times New Roman" w:hAnsi="Times New Roman" w:cs="Times New Roman"/>
          <w:sz w:val="24"/>
          <w:szCs w:val="24"/>
        </w:rPr>
        <w:t xml:space="preserve">The government should never try to formulate policies that target these tribes’ culture and lifestyles rather cope and respect their ways of living. As a result, acts such as Dawes should not be expected again in the House of Representatives. As the house mandated by the constitution to work on behalf of the larger population, it should ensure its policies touches of American citizen’s interest. This is to avoid progressive conflict between the indigenous tribes and the government. </w:t>
      </w:r>
    </w:p>
    <w:p w:rsidR="00A93B50" w:rsidRPr="00A93B50" w:rsidRDefault="00A93B50" w:rsidP="00A93B50">
      <w:pPr>
        <w:spacing w:after="0" w:line="480" w:lineRule="auto"/>
        <w:ind w:firstLine="720"/>
        <w:rPr>
          <w:rFonts w:ascii="Times New Roman" w:hAnsi="Times New Roman" w:cs="Times New Roman"/>
          <w:sz w:val="24"/>
          <w:szCs w:val="24"/>
        </w:rPr>
      </w:pPr>
      <w:r w:rsidRPr="00A93B50">
        <w:rPr>
          <w:rFonts w:ascii="Times New Roman" w:hAnsi="Times New Roman" w:cs="Times New Roman"/>
          <w:sz w:val="24"/>
          <w:szCs w:val="24"/>
        </w:rPr>
        <w:t>In line with this, the federal government should consider the following recommendations to help the conflict between the North Dakota Pipeline and Standing Rock. The first thing is for the government to help the natives with the boundaries that should help to reduce the conflict. According to the North Dakota Pipeline, the pipeline does not touch the Standing Rock Sioux land (para#3). However, looking at the map from its website, the project clearly touches some portion of the Sioux land. The claims from the project handlers try to deny the claim of the Sioux to make them look like they there arguments are baseless. In this case, the federal government should come to the rescue of the indigenous by explaining for the world whose claim between the tribes and the Military Engineers Corps is true. Secondly, the federal government scrutinizes the project to settle the claims of the Sioux. The Sioux complains are based on the harm the project is likely to the entire population of America (</w:t>
      </w:r>
      <w:proofErr w:type="spellStart"/>
      <w:r w:rsidRPr="00A93B50">
        <w:rPr>
          <w:rFonts w:ascii="Times New Roman" w:hAnsi="Times New Roman" w:cs="Times New Roman"/>
          <w:sz w:val="24"/>
          <w:szCs w:val="24"/>
        </w:rPr>
        <w:t>Treuer</w:t>
      </w:r>
      <w:proofErr w:type="spellEnd"/>
      <w:r w:rsidRPr="00A93B50">
        <w:rPr>
          <w:rFonts w:ascii="Times New Roman" w:hAnsi="Times New Roman" w:cs="Times New Roman"/>
          <w:sz w:val="24"/>
          <w:szCs w:val="24"/>
        </w:rPr>
        <w:t xml:space="preserve">, para#3). The issues raised about this project are valid and should be considered no matter the economic effect the project has to America. Lastly, the federal government should ensure the constitution is followed to the latter. </w:t>
      </w:r>
      <w:r w:rsidRPr="00A93B50">
        <w:rPr>
          <w:rFonts w:ascii="Times New Roman" w:hAnsi="Times New Roman" w:cs="Times New Roman"/>
          <w:sz w:val="24"/>
          <w:szCs w:val="24"/>
        </w:rPr>
        <w:lastRenderedPageBreak/>
        <w:t xml:space="preserve">The constitution of America prohibits taking of people’s property without just compensation. Since the pipeline project touches the Standing Rock land, the landowners should have the opportunity to claim their rights as the constitution stipulates.    </w:t>
      </w:r>
    </w:p>
    <w:p w:rsidR="004B073A" w:rsidRDefault="004B073A"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A93B50">
      <w:pPr>
        <w:spacing w:after="0" w:line="480" w:lineRule="auto"/>
        <w:ind w:firstLine="720"/>
        <w:rPr>
          <w:rFonts w:ascii="Times New Roman" w:hAnsi="Times New Roman" w:cs="Times New Roman"/>
          <w:sz w:val="24"/>
          <w:szCs w:val="24"/>
        </w:rPr>
      </w:pPr>
    </w:p>
    <w:p w:rsidR="00C11680" w:rsidRDefault="00C11680" w:rsidP="00297C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297CED" w:rsidRPr="00297CED" w:rsidRDefault="00297CED" w:rsidP="00297CED">
      <w:pPr>
        <w:spacing w:after="0" w:line="480" w:lineRule="auto"/>
        <w:ind w:left="720" w:hanging="720"/>
        <w:rPr>
          <w:rFonts w:ascii="Times New Roman" w:hAnsi="Times New Roman" w:cs="Times New Roman"/>
          <w:sz w:val="24"/>
          <w:szCs w:val="24"/>
          <w:shd w:val="clear" w:color="auto" w:fill="FFFFFF"/>
        </w:rPr>
      </w:pPr>
      <w:proofErr w:type="spellStart"/>
      <w:r w:rsidRPr="00297CED">
        <w:rPr>
          <w:rFonts w:ascii="Times New Roman" w:hAnsi="Times New Roman" w:cs="Times New Roman"/>
          <w:sz w:val="24"/>
          <w:szCs w:val="24"/>
          <w:shd w:val="clear" w:color="auto" w:fill="FFFFFF"/>
        </w:rPr>
        <w:t>Archambault</w:t>
      </w:r>
      <w:proofErr w:type="spellEnd"/>
      <w:r w:rsidRPr="00297CED">
        <w:rPr>
          <w:rFonts w:ascii="Times New Roman" w:hAnsi="Times New Roman" w:cs="Times New Roman"/>
          <w:sz w:val="24"/>
          <w:szCs w:val="24"/>
          <w:shd w:val="clear" w:color="auto" w:fill="FFFFFF"/>
        </w:rPr>
        <w:t xml:space="preserve"> II, David. Taking a Stand at Standing Rock. New York Times. (August 24, 2016) Accessed on May 6, 2019 from </w:t>
      </w:r>
      <w:hyperlink r:id="rId6" w:history="1">
        <w:r w:rsidRPr="00297CED">
          <w:rPr>
            <w:rStyle w:val="Hyperlink"/>
            <w:rFonts w:ascii="Times New Roman" w:hAnsi="Times New Roman" w:cs="Times New Roman"/>
            <w:color w:val="auto"/>
            <w:sz w:val="24"/>
            <w:szCs w:val="24"/>
            <w:u w:val="none"/>
          </w:rPr>
          <w:t>https://www.nytimes.com/2016/08/25/opinion/taking-a-stand-at-standing-rock.html</w:t>
        </w:r>
      </w:hyperlink>
      <w:r w:rsidRPr="00297CED">
        <w:rPr>
          <w:rFonts w:ascii="Times New Roman" w:hAnsi="Times New Roman" w:cs="Times New Roman"/>
          <w:sz w:val="24"/>
          <w:szCs w:val="24"/>
          <w:shd w:val="clear" w:color="auto" w:fill="FFFFFF"/>
        </w:rPr>
        <w:t xml:space="preserve">  </w:t>
      </w:r>
    </w:p>
    <w:p w:rsidR="00297CED" w:rsidRPr="00297CED" w:rsidRDefault="00297CED" w:rsidP="00297CED">
      <w:pPr>
        <w:spacing w:after="0" w:line="480" w:lineRule="auto"/>
        <w:ind w:left="720" w:hanging="720"/>
        <w:rPr>
          <w:rFonts w:ascii="Times New Roman" w:hAnsi="Times New Roman" w:cs="Times New Roman"/>
          <w:sz w:val="24"/>
          <w:szCs w:val="24"/>
          <w:shd w:val="clear" w:color="auto" w:fill="FFFFFF"/>
        </w:rPr>
      </w:pPr>
      <w:r w:rsidRPr="00297CED">
        <w:rPr>
          <w:rFonts w:ascii="Times New Roman" w:hAnsi="Times New Roman" w:cs="Times New Roman"/>
          <w:sz w:val="24"/>
          <w:szCs w:val="24"/>
        </w:rPr>
        <w:t xml:space="preserve">Dakota Access Pipeline Facts. Accessed from </w:t>
      </w:r>
      <w:hyperlink r:id="rId7" w:history="1">
        <w:r w:rsidRPr="00297CED">
          <w:rPr>
            <w:rStyle w:val="Hyperlink"/>
            <w:rFonts w:ascii="Times New Roman" w:hAnsi="Times New Roman" w:cs="Times New Roman"/>
            <w:color w:val="auto"/>
            <w:sz w:val="24"/>
            <w:szCs w:val="24"/>
            <w:u w:val="none"/>
          </w:rPr>
          <w:t>https://daplpipelinefacts.com/</w:t>
        </w:r>
      </w:hyperlink>
    </w:p>
    <w:p w:rsidR="00332CDD" w:rsidRPr="00297CED" w:rsidRDefault="00332CDD" w:rsidP="00297CED">
      <w:pPr>
        <w:spacing w:after="0" w:line="480" w:lineRule="auto"/>
        <w:ind w:left="720" w:hanging="720"/>
        <w:rPr>
          <w:rFonts w:ascii="Times New Roman" w:hAnsi="Times New Roman" w:cs="Times New Roman"/>
          <w:sz w:val="28"/>
          <w:szCs w:val="24"/>
          <w:shd w:val="clear" w:color="auto" w:fill="FFFFFF"/>
        </w:rPr>
      </w:pPr>
      <w:r w:rsidRPr="00297CED">
        <w:rPr>
          <w:rFonts w:ascii="Times New Roman" w:hAnsi="Times New Roman" w:cs="Times New Roman"/>
          <w:sz w:val="28"/>
          <w:szCs w:val="24"/>
          <w:shd w:val="clear" w:color="auto" w:fill="FFFFFF"/>
        </w:rPr>
        <w:t xml:space="preserve">Dawes Act </w:t>
      </w:r>
    </w:p>
    <w:p w:rsidR="00505D4C" w:rsidRPr="00505D4C" w:rsidRDefault="00505D4C" w:rsidP="00297CED">
      <w:pPr>
        <w:spacing w:after="0" w:line="480" w:lineRule="auto"/>
        <w:ind w:left="720" w:hanging="720"/>
        <w:rPr>
          <w:rFonts w:ascii="Times New Roman" w:hAnsi="Times New Roman" w:cs="Times New Roman"/>
          <w:sz w:val="24"/>
          <w:szCs w:val="24"/>
          <w:shd w:val="clear" w:color="auto" w:fill="FFFFFF"/>
        </w:rPr>
      </w:pPr>
      <w:r w:rsidRPr="00505D4C">
        <w:rPr>
          <w:rFonts w:ascii="Times New Roman" w:hAnsi="Times New Roman" w:cs="Times New Roman"/>
          <w:color w:val="222222"/>
          <w:sz w:val="24"/>
          <w:szCs w:val="24"/>
          <w:shd w:val="clear" w:color="auto" w:fill="FFFFFF"/>
        </w:rPr>
        <w:t>Dunbar-Ortiz, Roxanne. </w:t>
      </w:r>
      <w:r w:rsidRPr="00505D4C">
        <w:rPr>
          <w:rFonts w:ascii="Times New Roman" w:hAnsi="Times New Roman" w:cs="Times New Roman"/>
          <w:i/>
          <w:iCs/>
          <w:color w:val="222222"/>
          <w:sz w:val="24"/>
          <w:szCs w:val="24"/>
          <w:shd w:val="clear" w:color="auto" w:fill="FFFFFF"/>
        </w:rPr>
        <w:t>An indigenous peoples' history of the United States</w:t>
      </w:r>
      <w:r w:rsidRPr="00505D4C">
        <w:rPr>
          <w:rFonts w:ascii="Times New Roman" w:hAnsi="Times New Roman" w:cs="Times New Roman"/>
          <w:color w:val="222222"/>
          <w:sz w:val="24"/>
          <w:szCs w:val="24"/>
          <w:shd w:val="clear" w:color="auto" w:fill="FFFFFF"/>
        </w:rPr>
        <w:t>. Vol. 3. Beacon Press, 2014.</w:t>
      </w:r>
    </w:p>
    <w:p w:rsidR="00C11680" w:rsidRPr="00297CED" w:rsidRDefault="00C11680" w:rsidP="00297CED">
      <w:pPr>
        <w:spacing w:after="0" w:line="480" w:lineRule="auto"/>
        <w:ind w:left="720" w:hanging="720"/>
        <w:rPr>
          <w:rFonts w:ascii="Times New Roman" w:hAnsi="Times New Roman" w:cs="Times New Roman"/>
          <w:sz w:val="24"/>
          <w:szCs w:val="24"/>
          <w:shd w:val="clear" w:color="auto" w:fill="FFFFFF"/>
        </w:rPr>
      </w:pPr>
      <w:r w:rsidRPr="00297CED">
        <w:rPr>
          <w:rFonts w:ascii="Times New Roman" w:hAnsi="Times New Roman" w:cs="Times New Roman"/>
          <w:sz w:val="24"/>
          <w:szCs w:val="24"/>
          <w:shd w:val="clear" w:color="auto" w:fill="FFFFFF"/>
        </w:rPr>
        <w:t xml:space="preserve">Murphy, Gerald. "The constitution of the Iroquois nations. The Great Binding Law: </w:t>
      </w:r>
      <w:proofErr w:type="spellStart"/>
      <w:r w:rsidRPr="00297CED">
        <w:rPr>
          <w:rFonts w:ascii="Times New Roman" w:hAnsi="Times New Roman" w:cs="Times New Roman"/>
          <w:sz w:val="24"/>
          <w:szCs w:val="24"/>
          <w:shd w:val="clear" w:color="auto" w:fill="FFFFFF"/>
        </w:rPr>
        <w:t>Gayanashagow</w:t>
      </w:r>
      <w:proofErr w:type="spellEnd"/>
      <w:r w:rsidRPr="00297CED">
        <w:rPr>
          <w:rFonts w:ascii="Times New Roman" w:hAnsi="Times New Roman" w:cs="Times New Roman"/>
          <w:sz w:val="24"/>
          <w:szCs w:val="24"/>
          <w:shd w:val="clear" w:color="auto" w:fill="FFFFFF"/>
        </w:rPr>
        <w:t>." (2001).</w:t>
      </w:r>
    </w:p>
    <w:p w:rsidR="00297CED" w:rsidRPr="00297CED" w:rsidRDefault="00297CED" w:rsidP="00297CED">
      <w:pPr>
        <w:spacing w:after="0" w:line="480" w:lineRule="auto"/>
        <w:ind w:left="720" w:hanging="720"/>
        <w:rPr>
          <w:rFonts w:ascii="Times New Roman" w:hAnsi="Times New Roman" w:cs="Times New Roman"/>
          <w:sz w:val="24"/>
          <w:szCs w:val="24"/>
        </w:rPr>
      </w:pPr>
      <w:proofErr w:type="spellStart"/>
      <w:r w:rsidRPr="00297CED">
        <w:rPr>
          <w:rFonts w:ascii="Times New Roman" w:hAnsi="Times New Roman" w:cs="Times New Roman"/>
          <w:sz w:val="24"/>
          <w:szCs w:val="24"/>
          <w:shd w:val="clear" w:color="auto" w:fill="FFFFFF"/>
        </w:rPr>
        <w:t>Treuer</w:t>
      </w:r>
      <w:proofErr w:type="spellEnd"/>
      <w:r w:rsidRPr="00297CED">
        <w:rPr>
          <w:rFonts w:ascii="Times New Roman" w:hAnsi="Times New Roman" w:cs="Times New Roman"/>
          <w:sz w:val="24"/>
          <w:szCs w:val="24"/>
          <w:shd w:val="clear" w:color="auto" w:fill="FFFFFF"/>
        </w:rPr>
        <w:t xml:space="preserve">, David. An Indian Protest for Everyone. </w:t>
      </w:r>
      <w:r w:rsidRPr="00297CED">
        <w:rPr>
          <w:rFonts w:ascii="Times New Roman" w:hAnsi="Times New Roman" w:cs="Times New Roman"/>
          <w:i/>
          <w:sz w:val="24"/>
          <w:szCs w:val="24"/>
          <w:shd w:val="clear" w:color="auto" w:fill="FFFFFF"/>
        </w:rPr>
        <w:t>New York Times</w:t>
      </w:r>
      <w:r w:rsidRPr="00297CED">
        <w:rPr>
          <w:rFonts w:ascii="Times New Roman" w:hAnsi="Times New Roman" w:cs="Times New Roman"/>
          <w:sz w:val="24"/>
          <w:szCs w:val="24"/>
          <w:shd w:val="clear" w:color="auto" w:fill="FFFFFF"/>
        </w:rPr>
        <w:t xml:space="preserve">. (November 26, 2016). Accessed on May 6, 2019 from </w:t>
      </w:r>
      <w:hyperlink r:id="rId8" w:history="1">
        <w:r w:rsidRPr="00297CED">
          <w:rPr>
            <w:rStyle w:val="Hyperlink"/>
            <w:rFonts w:ascii="Times New Roman" w:hAnsi="Times New Roman" w:cs="Times New Roman"/>
            <w:color w:val="auto"/>
            <w:sz w:val="24"/>
            <w:szCs w:val="24"/>
            <w:u w:val="none"/>
          </w:rPr>
          <w:t>https://www.nytimes.com/2016/11/26/opinion/sunday/an-indian-protest-for-everyone.html</w:t>
        </w:r>
      </w:hyperlink>
    </w:p>
    <w:sectPr w:rsidR="00297CED" w:rsidRPr="00297CED" w:rsidSect="00C1168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3E3" w:rsidRDefault="002853E3" w:rsidP="00C11680">
      <w:pPr>
        <w:spacing w:after="0" w:line="240" w:lineRule="auto"/>
      </w:pPr>
      <w:r>
        <w:separator/>
      </w:r>
    </w:p>
  </w:endnote>
  <w:endnote w:type="continuationSeparator" w:id="0">
    <w:p w:rsidR="002853E3" w:rsidRDefault="002853E3" w:rsidP="00C11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3E3" w:rsidRDefault="002853E3" w:rsidP="00C11680">
      <w:pPr>
        <w:spacing w:after="0" w:line="240" w:lineRule="auto"/>
      </w:pPr>
      <w:r>
        <w:separator/>
      </w:r>
    </w:p>
  </w:footnote>
  <w:footnote w:type="continuationSeparator" w:id="0">
    <w:p w:rsidR="002853E3" w:rsidRDefault="002853E3" w:rsidP="00C116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680" w:rsidRPr="00C11680" w:rsidRDefault="00C11680" w:rsidP="00C11680">
    <w:pPr>
      <w:pStyle w:val="Header"/>
      <w:jc w:val="right"/>
      <w:rPr>
        <w:rFonts w:ascii="Times New Roman" w:hAnsi="Times New Roman" w:cs="Times New Roman"/>
        <w:sz w:val="24"/>
        <w:szCs w:val="24"/>
      </w:rPr>
    </w:pPr>
    <w:r w:rsidRPr="00C11680">
      <w:rPr>
        <w:rFonts w:ascii="Times New Roman" w:hAnsi="Times New Roman" w:cs="Times New Roman"/>
        <w:sz w:val="24"/>
        <w:szCs w:val="24"/>
      </w:rPr>
      <w:t>Surname</w:t>
    </w:r>
    <w:r w:rsidRPr="00C11680">
      <w:rPr>
        <w:rFonts w:ascii="Times New Roman" w:hAnsi="Times New Roman" w:cs="Times New Roman"/>
        <w:sz w:val="24"/>
        <w:szCs w:val="24"/>
      </w:rPr>
      <w:fldChar w:fldCharType="begin"/>
    </w:r>
    <w:r w:rsidRPr="00C11680">
      <w:rPr>
        <w:rFonts w:ascii="Times New Roman" w:hAnsi="Times New Roman" w:cs="Times New Roman"/>
        <w:sz w:val="24"/>
        <w:szCs w:val="24"/>
      </w:rPr>
      <w:instrText xml:space="preserve"> PAGE   \* MERGEFORMAT </w:instrText>
    </w:r>
    <w:r w:rsidRPr="00C11680">
      <w:rPr>
        <w:rFonts w:ascii="Times New Roman" w:hAnsi="Times New Roman" w:cs="Times New Roman"/>
        <w:sz w:val="24"/>
        <w:szCs w:val="24"/>
      </w:rPr>
      <w:fldChar w:fldCharType="separate"/>
    </w:r>
    <w:r w:rsidR="0087649F">
      <w:rPr>
        <w:rFonts w:ascii="Times New Roman" w:hAnsi="Times New Roman" w:cs="Times New Roman"/>
        <w:noProof/>
        <w:sz w:val="24"/>
        <w:szCs w:val="24"/>
      </w:rPr>
      <w:t>5</w:t>
    </w:r>
    <w:r w:rsidRPr="00C11680">
      <w:rPr>
        <w:rFonts w:ascii="Times New Roman" w:hAnsi="Times New Roman" w:cs="Times New Roman"/>
        <w:noProof/>
        <w:sz w:val="24"/>
        <w:szCs w:val="24"/>
      </w:rPr>
      <w:fldChar w:fldCharType="end"/>
    </w:r>
  </w:p>
  <w:p w:rsidR="00C11680" w:rsidRDefault="00C116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680" w:rsidRPr="00C11680" w:rsidRDefault="00C11680" w:rsidP="00C11680">
    <w:pPr>
      <w:pStyle w:val="Header"/>
      <w:jc w:val="right"/>
      <w:rPr>
        <w:rFonts w:ascii="Times New Roman" w:hAnsi="Times New Roman" w:cs="Times New Roman"/>
        <w:sz w:val="24"/>
        <w:szCs w:val="24"/>
      </w:rPr>
    </w:pPr>
    <w:r w:rsidRPr="00C11680">
      <w:rPr>
        <w:rFonts w:ascii="Times New Roman" w:hAnsi="Times New Roman" w:cs="Times New Roman"/>
        <w:sz w:val="24"/>
        <w:szCs w:val="24"/>
      </w:rPr>
      <w:t>Surname</w:t>
    </w:r>
    <w:r w:rsidRPr="00C11680">
      <w:rPr>
        <w:rFonts w:ascii="Times New Roman" w:hAnsi="Times New Roman" w:cs="Times New Roman"/>
        <w:sz w:val="24"/>
        <w:szCs w:val="24"/>
      </w:rPr>
      <w:fldChar w:fldCharType="begin"/>
    </w:r>
    <w:r w:rsidRPr="00C11680">
      <w:rPr>
        <w:rFonts w:ascii="Times New Roman" w:hAnsi="Times New Roman" w:cs="Times New Roman"/>
        <w:sz w:val="24"/>
        <w:szCs w:val="24"/>
      </w:rPr>
      <w:instrText xml:space="preserve"> PAGE   \* MERGEFORMAT </w:instrText>
    </w:r>
    <w:r w:rsidRPr="00C11680">
      <w:rPr>
        <w:rFonts w:ascii="Times New Roman" w:hAnsi="Times New Roman" w:cs="Times New Roman"/>
        <w:sz w:val="24"/>
        <w:szCs w:val="24"/>
      </w:rPr>
      <w:fldChar w:fldCharType="separate"/>
    </w:r>
    <w:r w:rsidR="0087649F">
      <w:rPr>
        <w:rFonts w:ascii="Times New Roman" w:hAnsi="Times New Roman" w:cs="Times New Roman"/>
        <w:noProof/>
        <w:sz w:val="24"/>
        <w:szCs w:val="24"/>
      </w:rPr>
      <w:t>1</w:t>
    </w:r>
    <w:r w:rsidRPr="00C1168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5DA"/>
    <w:rsid w:val="001809E8"/>
    <w:rsid w:val="001C7CAE"/>
    <w:rsid w:val="002853E3"/>
    <w:rsid w:val="00297CED"/>
    <w:rsid w:val="002F0912"/>
    <w:rsid w:val="00332CDD"/>
    <w:rsid w:val="00377FC8"/>
    <w:rsid w:val="004B073A"/>
    <w:rsid w:val="004B4EE0"/>
    <w:rsid w:val="004B4F51"/>
    <w:rsid w:val="00505D4C"/>
    <w:rsid w:val="005D3719"/>
    <w:rsid w:val="006743DC"/>
    <w:rsid w:val="0087649F"/>
    <w:rsid w:val="0095432A"/>
    <w:rsid w:val="00967593"/>
    <w:rsid w:val="00970283"/>
    <w:rsid w:val="00A93B50"/>
    <w:rsid w:val="00BA05DA"/>
    <w:rsid w:val="00C11680"/>
    <w:rsid w:val="00CA568E"/>
    <w:rsid w:val="00D405D6"/>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8DFE55-FA86-4608-97F7-E32CDC887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11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680"/>
  </w:style>
  <w:style w:type="paragraph" w:styleId="Footer">
    <w:name w:val="footer"/>
    <w:basedOn w:val="Normal"/>
    <w:link w:val="FooterChar"/>
    <w:uiPriority w:val="99"/>
    <w:unhideWhenUsed/>
    <w:rsid w:val="00C11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680"/>
  </w:style>
  <w:style w:type="character" w:styleId="Hyperlink">
    <w:name w:val="Hyperlink"/>
    <w:basedOn w:val="DefaultParagraphFont"/>
    <w:uiPriority w:val="99"/>
    <w:semiHidden/>
    <w:unhideWhenUsed/>
    <w:rsid w:val="00297C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6/11/26/opinion/sunday/an-indian-protest-for-everyone.html" TargetMode="External"/><Relationship Id="rId3" Type="http://schemas.openxmlformats.org/officeDocument/2006/relationships/webSettings" Target="webSettings.xml"/><Relationship Id="rId7" Type="http://schemas.openxmlformats.org/officeDocument/2006/relationships/hyperlink" Target="https://daplpipelinefacts.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6/08/25/opinion/taking-a-stand-at-standing-rock.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2019-05-06T15:55:00Z</dcterms:created>
  <dcterms:modified xsi:type="dcterms:W3CDTF">2019-05-06T15:55:00Z</dcterms:modified>
</cp:coreProperties>
</file>